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5093D7" w14:textId="77777777" w:rsidR="00C37067" w:rsidRPr="00FF63FD" w:rsidRDefault="00C37067" w:rsidP="00C37067">
      <w:pPr>
        <w:suppressAutoHyphens/>
        <w:spacing w:after="0" w:line="240" w:lineRule="auto"/>
        <w:rPr>
          <w:rFonts w:ascii="Verdana" w:eastAsia="Calibri" w:hAnsi="Verdana" w:cs="Times New Roman"/>
          <w:kern w:val="0"/>
          <w:sz w:val="18"/>
          <w:szCs w:val="18"/>
          <w14:ligatures w14:val="none"/>
        </w:rPr>
      </w:pPr>
    </w:p>
    <w:tbl>
      <w:tblPr>
        <w:tblW w:w="5000" w:type="pct"/>
        <w:tblCellMar>
          <w:left w:w="0" w:type="dxa"/>
          <w:right w:w="0" w:type="dxa"/>
        </w:tblCellMar>
        <w:tblLook w:val="04A0" w:firstRow="1" w:lastRow="0" w:firstColumn="1" w:lastColumn="0" w:noHBand="0" w:noVBand="1"/>
      </w:tblPr>
      <w:tblGrid>
        <w:gridCol w:w="9072"/>
      </w:tblGrid>
      <w:tr w:rsidR="00C37067" w:rsidRPr="00FF63FD" w14:paraId="3FC81D8E" w14:textId="77777777" w:rsidTr="00854DC0">
        <w:tc>
          <w:tcPr>
            <w:tcW w:w="0" w:type="auto"/>
            <w:hideMark/>
          </w:tcPr>
          <w:tbl>
            <w:tblPr>
              <w:tblW w:w="0" w:type="auto"/>
              <w:tblCellMar>
                <w:left w:w="0" w:type="dxa"/>
                <w:right w:w="0" w:type="dxa"/>
              </w:tblCellMar>
              <w:tblLook w:val="04A0" w:firstRow="1" w:lastRow="0" w:firstColumn="1" w:lastColumn="0" w:noHBand="0" w:noVBand="1"/>
            </w:tblPr>
            <w:tblGrid>
              <w:gridCol w:w="1731"/>
              <w:gridCol w:w="6750"/>
            </w:tblGrid>
            <w:tr w:rsidR="00C37067" w:rsidRPr="00FF63FD" w14:paraId="2E9DD120" w14:textId="77777777" w:rsidTr="00854DC0">
              <w:tc>
                <w:tcPr>
                  <w:tcW w:w="750" w:type="dxa"/>
                  <w:tcMar>
                    <w:top w:w="0" w:type="dxa"/>
                    <w:left w:w="0" w:type="dxa"/>
                    <w:bottom w:w="0" w:type="dxa"/>
                    <w:right w:w="75" w:type="dxa"/>
                  </w:tcMar>
                  <w:vAlign w:val="center"/>
                  <w:hideMark/>
                </w:tcPr>
                <w:p w14:paraId="594457C0" w14:textId="77777777" w:rsidR="00C37067" w:rsidRPr="00FF63FD" w:rsidRDefault="00C37067" w:rsidP="00854DC0">
                  <w:pPr>
                    <w:suppressAutoHyphens/>
                    <w:spacing w:after="0" w:line="240" w:lineRule="auto"/>
                    <w:rPr>
                      <w:rFonts w:ascii="Verdana" w:eastAsia="Calibri" w:hAnsi="Verdana" w:cs="Times New Roman"/>
                      <w:kern w:val="0"/>
                      <w:sz w:val="18"/>
                      <w:szCs w:val="18"/>
                      <w14:ligatures w14:val="none"/>
                    </w:rPr>
                  </w:pPr>
                  <w:r w:rsidRPr="00FF63FD">
                    <w:rPr>
                      <w:rFonts w:ascii="Verdana" w:eastAsia="Calibri" w:hAnsi="Verdana" w:cs="Times New Roman"/>
                      <w:noProof/>
                      <w:kern w:val="0"/>
                      <w:sz w:val="18"/>
                      <w:szCs w:val="18"/>
                    </w:rPr>
                    <w:drawing>
                      <wp:anchor distT="0" distB="0" distL="114300" distR="114300" simplePos="0" relativeHeight="251659264" behindDoc="0" locked="0" layoutInCell="1" allowOverlap="1" wp14:anchorId="0713DCF9" wp14:editId="2010F0C2">
                        <wp:simplePos x="0" y="0"/>
                        <wp:positionH relativeFrom="column">
                          <wp:posOffset>0</wp:posOffset>
                        </wp:positionH>
                        <wp:positionV relativeFrom="paragraph">
                          <wp:posOffset>0</wp:posOffset>
                        </wp:positionV>
                        <wp:extent cx="1051560" cy="1524000"/>
                        <wp:effectExtent l="0" t="0" r="0" b="0"/>
                        <wp:wrapSquare wrapText="bothSides"/>
                        <wp:docPr id="19" name="Afbeelding 18">
                          <a:hlinkClick xmlns:a="http://schemas.openxmlformats.org/drawingml/2006/main" r:id="rId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 r:link="rId7" cstate="print">
                                  <a:grayscl/>
                                  <a:extLst>
                                    <a:ext uri="{28A0092B-C50C-407E-A947-70E740481C1C}">
                                      <a14:useLocalDpi xmlns:a14="http://schemas.microsoft.com/office/drawing/2010/main" val="0"/>
                                    </a:ext>
                                  </a:extLst>
                                </a:blip>
                                <a:srcRect/>
                                <a:stretch>
                                  <a:fillRect/>
                                </a:stretch>
                              </pic:blipFill>
                              <pic:spPr bwMode="auto">
                                <a:xfrm>
                                  <a:off x="0" y="0"/>
                                  <a:ext cx="1051560" cy="15240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50" w:type="dxa"/>
                  <w:hideMark/>
                </w:tcPr>
                <w:tbl>
                  <w:tblPr>
                    <w:tblW w:w="0" w:type="auto"/>
                    <w:tblCellMar>
                      <w:left w:w="0" w:type="dxa"/>
                      <w:right w:w="0" w:type="dxa"/>
                    </w:tblCellMar>
                    <w:tblLook w:val="04A0" w:firstRow="1" w:lastRow="0" w:firstColumn="1" w:lastColumn="0" w:noHBand="0" w:noVBand="1"/>
                  </w:tblPr>
                  <w:tblGrid>
                    <w:gridCol w:w="6750"/>
                  </w:tblGrid>
                  <w:tr w:rsidR="00C37067" w:rsidRPr="00FF63FD" w14:paraId="1C96EF52" w14:textId="77777777" w:rsidTr="00854DC0">
                    <w:tc>
                      <w:tcPr>
                        <w:tcW w:w="0" w:type="auto"/>
                        <w:hideMark/>
                      </w:tcPr>
                      <w:p w14:paraId="2DE746E1" w14:textId="77777777" w:rsidR="00C37067" w:rsidRPr="00FF63FD" w:rsidRDefault="00C37067" w:rsidP="00854DC0">
                        <w:pPr>
                          <w:suppressAutoHyphens/>
                          <w:spacing w:after="0" w:line="240" w:lineRule="auto"/>
                          <w:rPr>
                            <w:rFonts w:ascii="Verdana" w:eastAsia="Calibri" w:hAnsi="Verdana" w:cs="Times New Roman"/>
                            <w:b/>
                            <w:bCs/>
                            <w:kern w:val="0"/>
                            <w:sz w:val="18"/>
                            <w:szCs w:val="18"/>
                            <w14:ligatures w14:val="none"/>
                          </w:rPr>
                        </w:pPr>
                        <w:r w:rsidRPr="00FF63FD">
                          <w:rPr>
                            <w:rFonts w:ascii="Arial" w:eastAsia="Calibri" w:hAnsi="Arial" w:cs="Arial"/>
                            <w:b/>
                            <w:bCs/>
                            <w:kern w:val="0"/>
                            <w:sz w:val="18"/>
                            <w:szCs w:val="18"/>
                            <w14:ligatures w14:val="none"/>
                          </w:rPr>
                          <w:t>​</w:t>
                        </w:r>
                        <w:r w:rsidRPr="00FF63FD">
                          <w:rPr>
                            <w:rFonts w:ascii="Verdana" w:eastAsia="Calibri" w:hAnsi="Verdana" w:cs="Times New Roman"/>
                            <w:b/>
                            <w:bCs/>
                            <w:kern w:val="0"/>
                            <w:sz w:val="18"/>
                            <w:szCs w:val="18"/>
                            <w14:ligatures w14:val="none"/>
                          </w:rPr>
                          <w:t>KONINKLIJK NEDERLANDS KORFBALVERBOND</w:t>
                        </w:r>
                      </w:p>
                    </w:tc>
                  </w:tr>
                  <w:tr w:rsidR="00C37067" w:rsidRPr="00FF63FD" w14:paraId="124512CC" w14:textId="77777777" w:rsidTr="00854DC0">
                    <w:tc>
                      <w:tcPr>
                        <w:tcW w:w="0" w:type="auto"/>
                        <w:hideMark/>
                      </w:tcPr>
                      <w:tbl>
                        <w:tblPr>
                          <w:tblW w:w="0" w:type="auto"/>
                          <w:tblCellMar>
                            <w:left w:w="0" w:type="dxa"/>
                            <w:right w:w="0" w:type="dxa"/>
                          </w:tblCellMar>
                          <w:tblLook w:val="04A0" w:firstRow="1" w:lastRow="0" w:firstColumn="1" w:lastColumn="0" w:noHBand="0" w:noVBand="1"/>
                        </w:tblPr>
                        <w:tblGrid>
                          <w:gridCol w:w="3000"/>
                          <w:gridCol w:w="3750"/>
                        </w:tblGrid>
                        <w:tr w:rsidR="00C37067" w:rsidRPr="00FF63FD" w14:paraId="42394F16" w14:textId="77777777" w:rsidTr="00854DC0">
                          <w:tc>
                            <w:tcPr>
                              <w:tcW w:w="750" w:type="dxa"/>
                              <w:hideMark/>
                            </w:tcPr>
                            <w:tbl>
                              <w:tblPr>
                                <w:tblW w:w="0" w:type="auto"/>
                                <w:tblCellMar>
                                  <w:left w:w="0" w:type="dxa"/>
                                  <w:right w:w="0" w:type="dxa"/>
                                </w:tblCellMar>
                                <w:tblLook w:val="04A0" w:firstRow="1" w:lastRow="0" w:firstColumn="1" w:lastColumn="0" w:noHBand="0" w:noVBand="1"/>
                              </w:tblPr>
                              <w:tblGrid>
                                <w:gridCol w:w="3000"/>
                              </w:tblGrid>
                              <w:tr w:rsidR="00C37067" w:rsidRPr="00FF63FD" w14:paraId="6EB16F31" w14:textId="77777777" w:rsidTr="00854DC0">
                                <w:tc>
                                  <w:tcPr>
                                    <w:tcW w:w="0" w:type="auto"/>
                                    <w:hideMark/>
                                  </w:tcPr>
                                  <w:tbl>
                                    <w:tblPr>
                                      <w:tblW w:w="0" w:type="auto"/>
                                      <w:tblCellMar>
                                        <w:left w:w="0" w:type="dxa"/>
                                        <w:right w:w="0" w:type="dxa"/>
                                      </w:tblCellMar>
                                      <w:tblLook w:val="04A0" w:firstRow="1" w:lastRow="0" w:firstColumn="1" w:lastColumn="0" w:noHBand="0" w:noVBand="1"/>
                                    </w:tblPr>
                                    <w:tblGrid>
                                      <w:gridCol w:w="3000"/>
                                    </w:tblGrid>
                                    <w:tr w:rsidR="00C37067" w:rsidRPr="00FF63FD" w14:paraId="20ECFD5A" w14:textId="77777777" w:rsidTr="00854DC0">
                                      <w:tc>
                                        <w:tcPr>
                                          <w:tcW w:w="0" w:type="auto"/>
                                          <w:tcMar>
                                            <w:top w:w="0" w:type="dxa"/>
                                            <w:left w:w="0" w:type="dxa"/>
                                            <w:bottom w:w="300" w:type="dxa"/>
                                            <w:right w:w="0" w:type="dxa"/>
                                          </w:tcMar>
                                          <w:hideMark/>
                                        </w:tcPr>
                                        <w:tbl>
                                          <w:tblPr>
                                            <w:tblW w:w="1000" w:type="dxa"/>
                                            <w:tblCellMar>
                                              <w:left w:w="0" w:type="dxa"/>
                                              <w:right w:w="0" w:type="dxa"/>
                                            </w:tblCellMar>
                                            <w:tblLook w:val="04A0" w:firstRow="1" w:lastRow="0" w:firstColumn="1" w:lastColumn="0" w:noHBand="0" w:noVBand="1"/>
                                          </w:tblPr>
                                          <w:tblGrid>
                                            <w:gridCol w:w="3000"/>
                                          </w:tblGrid>
                                          <w:tr w:rsidR="00C37067" w:rsidRPr="00FF63FD" w14:paraId="3698F374" w14:textId="77777777" w:rsidTr="00854DC0">
                                            <w:tc>
                                              <w:tcPr>
                                                <w:tcW w:w="0" w:type="auto"/>
                                                <w:hideMark/>
                                              </w:tcPr>
                                              <w:tbl>
                                                <w:tblPr>
                                                  <w:tblW w:w="3000" w:type="dxa"/>
                                                  <w:tblCellMar>
                                                    <w:left w:w="0" w:type="dxa"/>
                                                    <w:right w:w="0" w:type="dxa"/>
                                                  </w:tblCellMar>
                                                  <w:tblLook w:val="04A0" w:firstRow="1" w:lastRow="0" w:firstColumn="1" w:lastColumn="0" w:noHBand="0" w:noVBand="1"/>
                                                </w:tblPr>
                                                <w:tblGrid>
                                                  <w:gridCol w:w="3000"/>
                                                </w:tblGrid>
                                                <w:tr w:rsidR="00C37067" w:rsidRPr="00FF63FD" w14:paraId="5CCFB9CD" w14:textId="77777777" w:rsidTr="00854DC0">
                                                  <w:tc>
                                                    <w:tcPr>
                                                      <w:tcW w:w="0" w:type="auto"/>
                                                      <w:vAlign w:val="center"/>
                                                      <w:hideMark/>
                                                    </w:tcPr>
                                                    <w:p w14:paraId="6567DE80" w14:textId="77777777" w:rsidR="00C37067" w:rsidRPr="00FF63FD" w:rsidRDefault="00C37067" w:rsidP="00854DC0">
                                                      <w:pPr>
                                                        <w:suppressAutoHyphens/>
                                                        <w:spacing w:after="0" w:line="240" w:lineRule="auto"/>
                                                        <w:rPr>
                                                          <w:rFonts w:ascii="Verdana" w:eastAsia="Calibri" w:hAnsi="Verdana" w:cs="Times New Roman"/>
                                                          <w:kern w:val="0"/>
                                                          <w:sz w:val="18"/>
                                                          <w:szCs w:val="18"/>
                                                          <w14:ligatures w14:val="none"/>
                                                        </w:rPr>
                                                      </w:pPr>
                                                      <w:r w:rsidRPr="00FF63FD">
                                                        <w:rPr>
                                                          <w:rFonts w:ascii="Verdana" w:eastAsia="Calibri" w:hAnsi="Verdana" w:cs="Times New Roman"/>
                                                          <w:kern w:val="0"/>
                                                          <w:sz w:val="18"/>
                                                          <w:szCs w:val="18"/>
                                                          <w14:ligatures w14:val="none"/>
                                                        </w:rPr>
                                                        <w:t>Bezoek</w:t>
                                                      </w:r>
                                                      <w:r w:rsidRPr="00FF63FD">
                                                        <w:rPr>
                                                          <w:rFonts w:ascii="Verdana" w:eastAsia="Calibri" w:hAnsi="Verdana" w:cs="Times New Roman"/>
                                                          <w:kern w:val="0"/>
                                                          <w:sz w:val="18"/>
                                                          <w:szCs w:val="18"/>
                                                          <w14:ligatures w14:val="none"/>
                                                        </w:rPr>
                                                        <w:noBreakHyphen/>
                                                        <w:t> en postadres</w:t>
                                                      </w:r>
                                                    </w:p>
                                                  </w:tc>
                                                </w:tr>
                                              </w:tbl>
                                              <w:p w14:paraId="2817DD7E" w14:textId="77777777" w:rsidR="00C37067" w:rsidRPr="00FF63FD" w:rsidRDefault="00C37067" w:rsidP="00854DC0">
                                                <w:pPr>
                                                  <w:rPr>
                                                    <w:rFonts w:ascii="Calibri" w:eastAsia="Calibri" w:hAnsi="Calibri" w:cs="Times New Roman"/>
                                                  </w:rPr>
                                                </w:pPr>
                                              </w:p>
                                            </w:tc>
                                          </w:tr>
                                          <w:tr w:rsidR="00C37067" w:rsidRPr="00FF63FD" w14:paraId="09875C2F" w14:textId="77777777" w:rsidTr="00854DC0">
                                            <w:tc>
                                              <w:tcPr>
                                                <w:tcW w:w="0" w:type="auto"/>
                                                <w:hideMark/>
                                              </w:tcPr>
                                              <w:p w14:paraId="24C08A53" w14:textId="77777777" w:rsidR="00C37067" w:rsidRPr="00FF63FD" w:rsidRDefault="00C37067" w:rsidP="00854DC0">
                                                <w:pPr>
                                                  <w:suppressAutoHyphens/>
                                                  <w:spacing w:after="0" w:line="240" w:lineRule="auto"/>
                                                  <w:rPr>
                                                    <w:rFonts w:ascii="Verdana" w:eastAsia="Calibri" w:hAnsi="Verdana" w:cs="Times New Roman"/>
                                                    <w:kern w:val="0"/>
                                                    <w:sz w:val="18"/>
                                                    <w:szCs w:val="18"/>
                                                    <w14:ligatures w14:val="none"/>
                                                  </w:rPr>
                                                </w:pPr>
                                                <w:r w:rsidRPr="00FF63FD">
                                                  <w:rPr>
                                                    <w:rFonts w:ascii="Verdana" w:eastAsia="Calibri" w:hAnsi="Verdana" w:cs="Times New Roman"/>
                                                    <w:kern w:val="0"/>
                                                    <w:sz w:val="18"/>
                                                    <w:szCs w:val="18"/>
                                                    <w14:ligatures w14:val="none"/>
                                                  </w:rPr>
                                                  <w:t>Papendallaan 60</w:t>
                                                </w:r>
                                                <w:r w:rsidRPr="00FF63FD">
                                                  <w:rPr>
                                                    <w:rFonts w:ascii="Verdana" w:eastAsia="Calibri" w:hAnsi="Verdana" w:cs="Times New Roman"/>
                                                    <w:kern w:val="0"/>
                                                    <w:sz w:val="18"/>
                                                    <w:szCs w:val="18"/>
                                                    <w14:ligatures w14:val="none"/>
                                                  </w:rPr>
                                                  <w:br/>
                                                </w:r>
                                                <w:r w:rsidRPr="00FF63FD">
                                                  <w:rPr>
                                                    <w:rFonts w:ascii="Arial" w:eastAsia="Calibri" w:hAnsi="Arial" w:cs="Arial"/>
                                                    <w:kern w:val="0"/>
                                                    <w:sz w:val="18"/>
                                                    <w:szCs w:val="18"/>
                                                    <w14:ligatures w14:val="none"/>
                                                  </w:rPr>
                                                  <w:t>​</w:t>
                                                </w:r>
                                                <w:r w:rsidRPr="00FF63FD">
                                                  <w:rPr>
                                                    <w:rFonts w:ascii="Verdana" w:eastAsia="Calibri" w:hAnsi="Verdana" w:cs="Times New Roman"/>
                                                    <w:kern w:val="0"/>
                                                    <w:sz w:val="18"/>
                                                    <w:szCs w:val="18"/>
                                                    <w14:ligatures w14:val="none"/>
                                                  </w:rPr>
                                                  <w:t>6816</w:t>
                                                </w:r>
                                                <w:r w:rsidRPr="00FF63FD">
                                                  <w:rPr>
                                                    <w:rFonts w:ascii="Verdana" w:eastAsia="Calibri" w:hAnsi="Verdana" w:cs="Verdana"/>
                                                    <w:kern w:val="0"/>
                                                    <w:sz w:val="18"/>
                                                    <w:szCs w:val="18"/>
                                                    <w14:ligatures w14:val="none"/>
                                                  </w:rPr>
                                                  <w:t> </w:t>
                                                </w:r>
                                                <w:r w:rsidRPr="00FF63FD">
                                                  <w:rPr>
                                                    <w:rFonts w:ascii="Verdana" w:eastAsia="Calibri" w:hAnsi="Verdana" w:cs="Times New Roman"/>
                                                    <w:kern w:val="0"/>
                                                    <w:sz w:val="18"/>
                                                    <w:szCs w:val="18"/>
                                                    <w14:ligatures w14:val="none"/>
                                                  </w:rPr>
                                                  <w:t>VD</w:t>
                                                </w:r>
                                                <w:r w:rsidRPr="00FF63FD">
                                                  <w:rPr>
                                                    <w:rFonts w:ascii="Verdana" w:eastAsia="Calibri" w:hAnsi="Verdana" w:cs="Verdana"/>
                                                    <w:kern w:val="0"/>
                                                    <w:sz w:val="18"/>
                                                    <w:szCs w:val="18"/>
                                                    <w14:ligatures w14:val="none"/>
                                                  </w:rPr>
                                                  <w:t> </w:t>
                                                </w:r>
                                                <w:r w:rsidRPr="00FF63FD">
                                                  <w:rPr>
                                                    <w:rFonts w:ascii="Verdana" w:eastAsia="Calibri" w:hAnsi="Verdana" w:cs="Times New Roman"/>
                                                    <w:kern w:val="0"/>
                                                    <w:sz w:val="18"/>
                                                    <w:szCs w:val="18"/>
                                                    <w14:ligatures w14:val="none"/>
                                                  </w:rPr>
                                                  <w:t>Arnhem</w:t>
                                                </w:r>
                                              </w:p>
                                            </w:tc>
                                          </w:tr>
                                          <w:tr w:rsidR="00C37067" w:rsidRPr="00FF63FD" w14:paraId="705B965F" w14:textId="77777777" w:rsidTr="00854DC0">
                                            <w:tc>
                                              <w:tcPr>
                                                <w:tcW w:w="0" w:type="auto"/>
                                                <w:hideMark/>
                                              </w:tcPr>
                                              <w:p w14:paraId="28E83C3C" w14:textId="77777777" w:rsidR="00C37067" w:rsidRPr="00FF63FD" w:rsidRDefault="00C37067" w:rsidP="00854DC0">
                                                <w:pPr>
                                                  <w:suppressAutoHyphens/>
                                                  <w:spacing w:after="0" w:line="240" w:lineRule="auto"/>
                                                  <w:rPr>
                                                    <w:rFonts w:ascii="Verdana" w:eastAsia="Calibri" w:hAnsi="Verdana" w:cs="Times New Roman"/>
                                                    <w:kern w:val="0"/>
                                                    <w:sz w:val="18"/>
                                                    <w:szCs w:val="18"/>
                                                    <w14:ligatures w14:val="none"/>
                                                  </w:rPr>
                                                </w:pPr>
                                                <w:r w:rsidRPr="00FF63FD">
                                                  <w:rPr>
                                                    <w:rFonts w:ascii="Verdana" w:eastAsia="Calibri" w:hAnsi="Verdana" w:cs="Times New Roman"/>
                                                    <w:kern w:val="0"/>
                                                    <w:sz w:val="18"/>
                                                    <w:szCs w:val="18"/>
                                                    <w14:ligatures w14:val="none"/>
                                                  </w:rPr>
                                                  <w:t> </w:t>
                                                </w:r>
                                              </w:p>
                                            </w:tc>
                                          </w:tr>
                                          <w:tr w:rsidR="00C37067" w:rsidRPr="00FF63FD" w14:paraId="3C852848" w14:textId="77777777" w:rsidTr="00854DC0">
                                            <w:tc>
                                              <w:tcPr>
                                                <w:tcW w:w="0" w:type="auto"/>
                                                <w:hideMark/>
                                              </w:tcPr>
                                              <w:p w14:paraId="04A4ACC8" w14:textId="77777777" w:rsidR="00C37067" w:rsidRPr="00FF63FD" w:rsidRDefault="00C37067" w:rsidP="00854DC0">
                                                <w:pPr>
                                                  <w:suppressAutoHyphens/>
                                                  <w:spacing w:after="0" w:line="240" w:lineRule="auto"/>
                                                  <w:rPr>
                                                    <w:rFonts w:ascii="Verdana" w:eastAsia="Calibri" w:hAnsi="Verdana" w:cs="Times New Roman"/>
                                                    <w:kern w:val="0"/>
                                                    <w:sz w:val="18"/>
                                                    <w:szCs w:val="18"/>
                                                    <w14:ligatures w14:val="none"/>
                                                  </w:rPr>
                                                </w:pPr>
                                                <w:r w:rsidRPr="00FF63FD">
                                                  <w:rPr>
                                                    <w:rFonts w:ascii="Verdana" w:eastAsia="Calibri" w:hAnsi="Verdana" w:cs="Times New Roman"/>
                                                    <w:kern w:val="0"/>
                                                    <w:sz w:val="18"/>
                                                    <w:szCs w:val="18"/>
                                                    <w14:ligatures w14:val="none"/>
                                                  </w:rPr>
                                                  <w:t> </w:t>
                                                </w:r>
                                              </w:p>
                                            </w:tc>
                                          </w:tr>
                                        </w:tbl>
                                        <w:p w14:paraId="5B6731C3" w14:textId="77777777" w:rsidR="00C37067" w:rsidRPr="00FF63FD" w:rsidRDefault="00C37067" w:rsidP="00854DC0">
                                          <w:pPr>
                                            <w:rPr>
                                              <w:rFonts w:ascii="Calibri" w:eastAsia="Calibri" w:hAnsi="Calibri" w:cs="Times New Roman"/>
                                            </w:rPr>
                                          </w:pPr>
                                        </w:p>
                                      </w:tc>
                                    </w:tr>
                                  </w:tbl>
                                  <w:p w14:paraId="3EC034AC" w14:textId="77777777" w:rsidR="00C37067" w:rsidRPr="00FF63FD" w:rsidRDefault="00C37067" w:rsidP="00854DC0">
                                    <w:pPr>
                                      <w:rPr>
                                        <w:rFonts w:ascii="Calibri" w:eastAsia="Calibri" w:hAnsi="Calibri" w:cs="Times New Roman"/>
                                      </w:rPr>
                                    </w:pPr>
                                  </w:p>
                                </w:tc>
                              </w:tr>
                              <w:tr w:rsidR="00C37067" w:rsidRPr="00FF63FD" w14:paraId="2A17AFA9" w14:textId="77777777" w:rsidTr="00854DC0">
                                <w:tc>
                                  <w:tcPr>
                                    <w:tcW w:w="0" w:type="auto"/>
                                    <w:hideMark/>
                                  </w:tcPr>
                                  <w:tbl>
                                    <w:tblPr>
                                      <w:tblW w:w="0" w:type="auto"/>
                                      <w:tblCellMar>
                                        <w:left w:w="0" w:type="dxa"/>
                                        <w:right w:w="0" w:type="dxa"/>
                                      </w:tblCellMar>
                                      <w:tblLook w:val="04A0" w:firstRow="1" w:lastRow="0" w:firstColumn="1" w:lastColumn="0" w:noHBand="0" w:noVBand="1"/>
                                    </w:tblPr>
                                    <w:tblGrid>
                                      <w:gridCol w:w="6"/>
                                      <w:gridCol w:w="6"/>
                                      <w:gridCol w:w="6"/>
                                      <w:gridCol w:w="6"/>
                                      <w:gridCol w:w="6"/>
                                    </w:tblGrid>
                                    <w:tr w:rsidR="00C37067" w:rsidRPr="00FF63FD" w14:paraId="04EFC44D" w14:textId="77777777" w:rsidTr="00854DC0">
                                      <w:tc>
                                        <w:tcPr>
                                          <w:tcW w:w="0" w:type="auto"/>
                                        </w:tcPr>
                                        <w:p w14:paraId="28039A4C" w14:textId="77777777" w:rsidR="00C37067" w:rsidRPr="00FF63FD" w:rsidRDefault="00C37067" w:rsidP="00854DC0">
                                          <w:pPr>
                                            <w:rPr>
                                              <w:rFonts w:ascii="Calibri" w:eastAsia="Calibri" w:hAnsi="Calibri" w:cs="Times New Roman"/>
                                            </w:rPr>
                                          </w:pPr>
                                        </w:p>
                                      </w:tc>
                                      <w:tc>
                                        <w:tcPr>
                                          <w:tcW w:w="0" w:type="auto"/>
                                        </w:tcPr>
                                        <w:p w14:paraId="2D4313E0" w14:textId="77777777" w:rsidR="00C37067" w:rsidRPr="00FF63FD" w:rsidRDefault="00C37067" w:rsidP="00854DC0">
                                          <w:pPr>
                                            <w:rPr>
                                              <w:rFonts w:ascii="Calibri" w:eastAsia="Calibri" w:hAnsi="Calibri" w:cs="Times New Roman"/>
                                            </w:rPr>
                                          </w:pPr>
                                        </w:p>
                                      </w:tc>
                                      <w:tc>
                                        <w:tcPr>
                                          <w:tcW w:w="0" w:type="auto"/>
                                        </w:tcPr>
                                        <w:p w14:paraId="015E500C" w14:textId="77777777" w:rsidR="00C37067" w:rsidRPr="00FF63FD" w:rsidRDefault="00C37067" w:rsidP="00854DC0">
                                          <w:pPr>
                                            <w:rPr>
                                              <w:rFonts w:ascii="Calibri" w:eastAsia="Calibri" w:hAnsi="Calibri" w:cs="Times New Roman"/>
                                            </w:rPr>
                                          </w:pPr>
                                        </w:p>
                                      </w:tc>
                                      <w:tc>
                                        <w:tcPr>
                                          <w:tcW w:w="0" w:type="auto"/>
                                        </w:tcPr>
                                        <w:p w14:paraId="1A317D68" w14:textId="77777777" w:rsidR="00C37067" w:rsidRPr="00FF63FD" w:rsidRDefault="00C37067" w:rsidP="00854DC0">
                                          <w:pPr>
                                            <w:rPr>
                                              <w:rFonts w:ascii="Calibri" w:eastAsia="Calibri" w:hAnsi="Calibri" w:cs="Times New Roman"/>
                                            </w:rPr>
                                          </w:pPr>
                                        </w:p>
                                      </w:tc>
                                      <w:tc>
                                        <w:tcPr>
                                          <w:tcW w:w="0" w:type="auto"/>
                                        </w:tcPr>
                                        <w:p w14:paraId="77A4B63A" w14:textId="77777777" w:rsidR="00C37067" w:rsidRPr="00FF63FD" w:rsidRDefault="00C37067" w:rsidP="00854DC0">
                                          <w:pPr>
                                            <w:suppressAutoHyphens/>
                                            <w:spacing w:after="0" w:line="240" w:lineRule="auto"/>
                                            <w:rPr>
                                              <w:rFonts w:ascii="Verdana" w:eastAsia="Calibri" w:hAnsi="Verdana" w:cs="Times New Roman"/>
                                              <w:kern w:val="0"/>
                                              <w:sz w:val="18"/>
                                              <w:szCs w:val="18"/>
                                              <w14:ligatures w14:val="none"/>
                                            </w:rPr>
                                          </w:pPr>
                                        </w:p>
                                      </w:tc>
                                    </w:tr>
                                  </w:tbl>
                                  <w:p w14:paraId="7D4A6528" w14:textId="77777777" w:rsidR="00C37067" w:rsidRPr="00FF63FD" w:rsidRDefault="00C37067" w:rsidP="00854DC0">
                                    <w:pPr>
                                      <w:rPr>
                                        <w:rFonts w:ascii="Calibri" w:eastAsia="Calibri" w:hAnsi="Calibri" w:cs="Times New Roman"/>
                                      </w:rPr>
                                    </w:pPr>
                                  </w:p>
                                </w:tc>
                              </w:tr>
                            </w:tbl>
                            <w:p w14:paraId="69BAB13F" w14:textId="77777777" w:rsidR="00C37067" w:rsidRPr="00FF63FD" w:rsidRDefault="00C37067" w:rsidP="00854DC0">
                              <w:pPr>
                                <w:rPr>
                                  <w:rFonts w:ascii="Calibri" w:eastAsia="Calibri" w:hAnsi="Calibri" w:cs="Times New Roman"/>
                                </w:rPr>
                              </w:pPr>
                            </w:p>
                          </w:tc>
                          <w:tc>
                            <w:tcPr>
                              <w:tcW w:w="750" w:type="dxa"/>
                              <w:hideMark/>
                            </w:tcPr>
                            <w:tbl>
                              <w:tblPr>
                                <w:tblW w:w="3750" w:type="dxa"/>
                                <w:tblCellMar>
                                  <w:left w:w="0" w:type="dxa"/>
                                  <w:right w:w="0" w:type="dxa"/>
                                </w:tblCellMar>
                                <w:tblLook w:val="04A0" w:firstRow="1" w:lastRow="0" w:firstColumn="1" w:lastColumn="0" w:noHBand="0" w:noVBand="1"/>
                              </w:tblPr>
                              <w:tblGrid>
                                <w:gridCol w:w="3750"/>
                              </w:tblGrid>
                              <w:tr w:rsidR="00C37067" w:rsidRPr="00FF63FD" w14:paraId="2B230DDA" w14:textId="77777777" w:rsidTr="00854DC0">
                                <w:tc>
                                  <w:tcPr>
                                    <w:tcW w:w="0" w:type="auto"/>
                                    <w:hideMark/>
                                  </w:tcPr>
                                  <w:p w14:paraId="3A2EA956" w14:textId="77777777" w:rsidR="00C37067" w:rsidRPr="00FF63FD" w:rsidRDefault="00C37067" w:rsidP="00854DC0">
                                    <w:pPr>
                                      <w:suppressAutoHyphens/>
                                      <w:spacing w:after="0" w:line="240" w:lineRule="auto"/>
                                      <w:rPr>
                                        <w:rFonts w:ascii="Verdana" w:eastAsia="Calibri" w:hAnsi="Verdana" w:cs="Times New Roman"/>
                                        <w:kern w:val="0"/>
                                        <w:sz w:val="18"/>
                                        <w:szCs w:val="18"/>
                                        <w14:ligatures w14:val="none"/>
                                      </w:rPr>
                                    </w:pPr>
                                    <w:r w:rsidRPr="00FF63FD">
                                      <w:rPr>
                                        <w:rFonts w:ascii="Verdana" w:eastAsia="Calibri" w:hAnsi="Verdana" w:cs="Times New Roman"/>
                                        <w:kern w:val="0"/>
                                        <w:sz w:val="18"/>
                                        <w:szCs w:val="18"/>
                                        <w14:ligatures w14:val="none"/>
                                      </w:rPr>
                                      <w:t>Telefoon</w:t>
                                    </w:r>
                                  </w:p>
                                </w:tc>
                              </w:tr>
                              <w:tr w:rsidR="00C37067" w:rsidRPr="00FF63FD" w14:paraId="2CFB21E2" w14:textId="77777777" w:rsidTr="00854DC0">
                                <w:tc>
                                  <w:tcPr>
                                    <w:tcW w:w="0" w:type="auto"/>
                                    <w:hideMark/>
                                  </w:tcPr>
                                  <w:p w14:paraId="7AD73437" w14:textId="77777777" w:rsidR="00C37067" w:rsidRPr="00FF63FD" w:rsidRDefault="00C37067" w:rsidP="00854DC0">
                                    <w:pPr>
                                      <w:suppressAutoHyphens/>
                                      <w:spacing w:after="0" w:line="240" w:lineRule="auto"/>
                                      <w:rPr>
                                        <w:rFonts w:ascii="Verdana" w:eastAsia="Calibri" w:hAnsi="Verdana" w:cs="Times New Roman"/>
                                        <w:kern w:val="0"/>
                                        <w:sz w:val="18"/>
                                        <w:szCs w:val="18"/>
                                        <w14:ligatures w14:val="none"/>
                                      </w:rPr>
                                    </w:pPr>
                                    <w:r w:rsidRPr="00FF63FD">
                                      <w:rPr>
                                        <w:rFonts w:ascii="Verdana" w:eastAsia="Calibri" w:hAnsi="Verdana" w:cs="Times New Roman"/>
                                        <w:kern w:val="0"/>
                                        <w:sz w:val="18"/>
                                        <w:szCs w:val="18"/>
                                        <w14:ligatures w14:val="none"/>
                                      </w:rPr>
                                      <w:t>026</w:t>
                                    </w:r>
                                    <w:r w:rsidRPr="00FF63FD">
                                      <w:rPr>
                                        <w:rFonts w:ascii="Verdana" w:eastAsia="Calibri" w:hAnsi="Verdana" w:cs="Times New Roman"/>
                                        <w:kern w:val="0"/>
                                        <w:sz w:val="18"/>
                                        <w:szCs w:val="18"/>
                                        <w14:ligatures w14:val="none"/>
                                      </w:rPr>
                                      <w:noBreakHyphen/>
                                      <w:t>3035400</w:t>
                                    </w:r>
                                  </w:p>
                                </w:tc>
                              </w:tr>
                            </w:tbl>
                            <w:p w14:paraId="394FB757" w14:textId="77777777" w:rsidR="00C37067" w:rsidRPr="00FF63FD" w:rsidRDefault="00C37067" w:rsidP="00854DC0">
                              <w:pPr>
                                <w:rPr>
                                  <w:rFonts w:ascii="Calibri" w:eastAsia="Calibri" w:hAnsi="Calibri" w:cs="Times New Roman"/>
                                </w:rPr>
                              </w:pPr>
                            </w:p>
                          </w:tc>
                        </w:tr>
                      </w:tbl>
                      <w:p w14:paraId="2B9BC799" w14:textId="77777777" w:rsidR="00C37067" w:rsidRPr="00FF63FD" w:rsidRDefault="00C37067" w:rsidP="00854DC0">
                        <w:pPr>
                          <w:spacing w:after="0"/>
                          <w:rPr>
                            <w:rFonts w:ascii="Calibri" w:eastAsia="Calibri" w:hAnsi="Calibri" w:cs="Times New Roman"/>
                          </w:rPr>
                        </w:pPr>
                      </w:p>
                    </w:tc>
                  </w:tr>
                </w:tbl>
                <w:p w14:paraId="7EEEEA42" w14:textId="77777777" w:rsidR="00C37067" w:rsidRPr="00FF63FD" w:rsidRDefault="00C37067" w:rsidP="00854DC0">
                  <w:pPr>
                    <w:spacing w:after="0"/>
                    <w:rPr>
                      <w:rFonts w:ascii="Calibri" w:eastAsia="Calibri" w:hAnsi="Calibri" w:cs="Times New Roman"/>
                    </w:rPr>
                  </w:pPr>
                </w:p>
              </w:tc>
            </w:tr>
            <w:tr w:rsidR="00C37067" w:rsidRPr="00FF63FD" w14:paraId="23ABB5B7" w14:textId="77777777" w:rsidTr="00854DC0">
              <w:tc>
                <w:tcPr>
                  <w:tcW w:w="0" w:type="auto"/>
                  <w:gridSpan w:val="2"/>
                  <w:hideMark/>
                </w:tcPr>
                <w:tbl>
                  <w:tblPr>
                    <w:tblW w:w="5000" w:type="pct"/>
                    <w:tblCellMar>
                      <w:left w:w="0" w:type="dxa"/>
                      <w:right w:w="0" w:type="dxa"/>
                    </w:tblCellMar>
                    <w:tblLook w:val="04A0" w:firstRow="1" w:lastRow="0" w:firstColumn="1" w:lastColumn="0" w:noHBand="0" w:noVBand="1"/>
                  </w:tblPr>
                  <w:tblGrid>
                    <w:gridCol w:w="8481"/>
                  </w:tblGrid>
                  <w:tr w:rsidR="00C37067" w:rsidRPr="00FF63FD" w14:paraId="19CBC175" w14:textId="77777777" w:rsidTr="00854DC0">
                    <w:tc>
                      <w:tcPr>
                        <w:tcW w:w="0" w:type="auto"/>
                        <w:vAlign w:val="center"/>
                        <w:hideMark/>
                      </w:tcPr>
                      <w:p w14:paraId="776C88DF" w14:textId="77777777" w:rsidR="00C37067" w:rsidRPr="00FF63FD" w:rsidRDefault="00C37067" w:rsidP="00854DC0">
                        <w:pPr>
                          <w:suppressAutoHyphens/>
                          <w:spacing w:after="0" w:line="240" w:lineRule="auto"/>
                          <w:rPr>
                            <w:rFonts w:ascii="Verdana" w:eastAsia="Calibri" w:hAnsi="Verdana" w:cs="Times New Roman"/>
                            <w:kern w:val="0"/>
                            <w:sz w:val="18"/>
                            <w:szCs w:val="18"/>
                            <w14:ligatures w14:val="none"/>
                          </w:rPr>
                        </w:pPr>
                        <w:r w:rsidRPr="00FF63FD">
                          <w:rPr>
                            <w:rFonts w:ascii="Verdana" w:eastAsia="Calibri" w:hAnsi="Verdana" w:cs="Times New Roman"/>
                            <w:kern w:val="0"/>
                            <w:sz w:val="18"/>
                            <w:szCs w:val="18"/>
                            <w14:ligatures w14:val="none"/>
                          </w:rPr>
                          <w:br/>
                        </w:r>
                        <w:r w:rsidRPr="00FF63FD">
                          <w:rPr>
                            <w:rFonts w:ascii="Arial" w:eastAsia="Calibri" w:hAnsi="Arial" w:cs="Arial"/>
                            <w:kern w:val="0"/>
                            <w:sz w:val="18"/>
                            <w:szCs w:val="18"/>
                            <w14:ligatures w14:val="none"/>
                          </w:rPr>
                          <w:t>​</w:t>
                        </w:r>
                      </w:p>
                    </w:tc>
                  </w:tr>
                </w:tbl>
                <w:p w14:paraId="38C97574" w14:textId="77777777" w:rsidR="00C37067" w:rsidRPr="00FF63FD" w:rsidRDefault="00C37067" w:rsidP="00854DC0">
                  <w:pPr>
                    <w:spacing w:after="0"/>
                    <w:rPr>
                      <w:rFonts w:ascii="Calibri" w:eastAsia="Calibri" w:hAnsi="Calibri" w:cs="Times New Roman"/>
                    </w:rPr>
                  </w:pPr>
                </w:p>
              </w:tc>
            </w:tr>
          </w:tbl>
          <w:p w14:paraId="0D66E767" w14:textId="77777777" w:rsidR="00C37067" w:rsidRPr="00FF63FD" w:rsidRDefault="00C37067" w:rsidP="00854DC0">
            <w:pPr>
              <w:rPr>
                <w:rFonts w:ascii="Calibri" w:eastAsia="Calibri" w:hAnsi="Calibri" w:cs="Times New Roman"/>
              </w:rPr>
            </w:pPr>
          </w:p>
        </w:tc>
      </w:tr>
    </w:tbl>
    <w:p w14:paraId="7B22A0D5" w14:textId="77777777" w:rsidR="00C37067" w:rsidRPr="00FF63FD" w:rsidRDefault="00C37067" w:rsidP="00C37067">
      <w:pPr>
        <w:suppressAutoHyphens/>
        <w:spacing w:after="0" w:line="240" w:lineRule="auto"/>
        <w:rPr>
          <w:rFonts w:ascii="Verdana" w:hAnsi="Verdana"/>
          <w:b/>
          <w:bCs/>
          <w:kern w:val="0"/>
          <w:sz w:val="28"/>
          <w:szCs w:val="28"/>
          <w14:ligatures w14:val="none"/>
        </w:rPr>
      </w:pPr>
      <w:r w:rsidRPr="00FF63FD">
        <w:rPr>
          <w:rFonts w:ascii="Verdana" w:hAnsi="Verdana"/>
          <w:b/>
          <w:bCs/>
          <w:kern w:val="0"/>
          <w:sz w:val="28"/>
          <w:szCs w:val="28"/>
          <w14:ligatures w14:val="none"/>
        </w:rPr>
        <w:t>WIJZIGINGEN IN SPELREGELS EN REGLEMENTEN</w:t>
      </w:r>
    </w:p>
    <w:p w14:paraId="7A80F9D2" w14:textId="77777777" w:rsidR="00C37067" w:rsidRPr="00FF63FD" w:rsidRDefault="00C37067" w:rsidP="00C37067">
      <w:pPr>
        <w:suppressAutoHyphens/>
        <w:spacing w:after="0" w:line="240" w:lineRule="auto"/>
        <w:rPr>
          <w:rFonts w:ascii="Verdana" w:hAnsi="Verdana"/>
          <w:kern w:val="0"/>
          <w:sz w:val="18"/>
          <w:szCs w:val="18"/>
          <w14:ligatures w14:val="none"/>
        </w:rPr>
      </w:pPr>
      <w:r w:rsidRPr="00FF63FD">
        <w:rPr>
          <w:rFonts w:ascii="Verdana" w:hAnsi="Verdana"/>
          <w:kern w:val="0"/>
          <w:sz w:val="18"/>
          <w:szCs w:val="18"/>
          <w14:ligatures w14:val="none"/>
        </w:rPr>
        <w:t>Elk jaar worden in de zomermaanden wijzigingen doorgevoerd in spelregels en reglementen. Via deze mail brengen wij jullie hiervan op de hoogte.</w:t>
      </w:r>
    </w:p>
    <w:p w14:paraId="40FCE39A" w14:textId="77777777" w:rsidR="00C37067" w:rsidRPr="00FF63FD" w:rsidRDefault="00C37067" w:rsidP="00C37067">
      <w:pPr>
        <w:suppressAutoHyphens/>
        <w:spacing w:after="0" w:line="240" w:lineRule="auto"/>
        <w:rPr>
          <w:rFonts w:ascii="Verdana" w:hAnsi="Verdana"/>
          <w:b/>
          <w:bCs/>
          <w:kern w:val="0"/>
          <w:sz w:val="18"/>
          <w:szCs w:val="18"/>
          <w14:ligatures w14:val="none"/>
        </w:rPr>
      </w:pPr>
      <w:r w:rsidRPr="00FF63FD">
        <w:rPr>
          <w:rFonts w:ascii="Verdana" w:hAnsi="Verdana"/>
          <w:b/>
          <w:bCs/>
          <w:kern w:val="0"/>
          <w:sz w:val="18"/>
          <w:szCs w:val="18"/>
          <w14:ligatures w14:val="none"/>
        </w:rPr>
        <w:t>Spelregels</w:t>
      </w:r>
    </w:p>
    <w:p w14:paraId="40B45D97" w14:textId="77777777" w:rsidR="00C37067" w:rsidRPr="00FF63FD" w:rsidRDefault="00C37067" w:rsidP="00C37067">
      <w:pPr>
        <w:suppressAutoHyphens/>
        <w:spacing w:after="0" w:line="240" w:lineRule="auto"/>
        <w:rPr>
          <w:rFonts w:ascii="Verdana" w:hAnsi="Verdana"/>
          <w:kern w:val="0"/>
          <w:sz w:val="18"/>
          <w:szCs w:val="18"/>
          <w14:ligatures w14:val="none"/>
        </w:rPr>
      </w:pPr>
      <w:r w:rsidRPr="00FF63FD">
        <w:rPr>
          <w:rFonts w:ascii="Verdana" w:hAnsi="Verdana"/>
          <w:kern w:val="0"/>
          <w:sz w:val="18"/>
          <w:szCs w:val="18"/>
          <w14:ligatures w14:val="none"/>
        </w:rPr>
        <w:t>Het IKF heeft aantal spelregelwijzigingen doorgevoerd. Kort samengevat zijn dit de volgende wijzigingen:</w:t>
      </w:r>
    </w:p>
    <w:p w14:paraId="6277511B" w14:textId="77777777" w:rsidR="00C37067" w:rsidRPr="00FF63FD" w:rsidRDefault="00C37067" w:rsidP="00C37067">
      <w:pPr>
        <w:numPr>
          <w:ilvl w:val="0"/>
          <w:numId w:val="1"/>
        </w:numPr>
        <w:suppressAutoHyphens/>
        <w:spacing w:after="0" w:line="240" w:lineRule="auto"/>
        <w:rPr>
          <w:rFonts w:ascii="Verdana" w:hAnsi="Verdana"/>
          <w:kern w:val="0"/>
          <w:sz w:val="18"/>
          <w:szCs w:val="18"/>
          <w14:ligatures w14:val="none"/>
        </w:rPr>
      </w:pPr>
      <w:r w:rsidRPr="00FF63FD">
        <w:rPr>
          <w:rFonts w:ascii="Verdana" w:hAnsi="Verdana"/>
          <w:kern w:val="0"/>
          <w:sz w:val="18"/>
          <w:szCs w:val="18"/>
          <w14:ligatures w14:val="none"/>
        </w:rPr>
        <w:t>4.4: Er is een regel toegevoegd waarin de coach verantwoordelijk is voor de acties en gedrag van iedereen die op de bank zit.</w:t>
      </w:r>
    </w:p>
    <w:p w14:paraId="166F5E30" w14:textId="77777777" w:rsidR="00C37067" w:rsidRPr="00FF63FD" w:rsidRDefault="00C37067" w:rsidP="00C37067">
      <w:pPr>
        <w:numPr>
          <w:ilvl w:val="0"/>
          <w:numId w:val="1"/>
        </w:numPr>
        <w:suppressAutoHyphens/>
        <w:spacing w:after="0" w:line="240" w:lineRule="auto"/>
        <w:rPr>
          <w:rFonts w:ascii="Verdana" w:hAnsi="Verdana"/>
          <w:kern w:val="0"/>
          <w:sz w:val="18"/>
          <w:szCs w:val="18"/>
          <w14:ligatures w14:val="none"/>
        </w:rPr>
      </w:pPr>
      <w:r w:rsidRPr="00FF63FD">
        <w:rPr>
          <w:rFonts w:ascii="Verdana" w:hAnsi="Verdana"/>
          <w:kern w:val="0"/>
          <w:sz w:val="18"/>
          <w:szCs w:val="18"/>
          <w14:ligatures w14:val="none"/>
        </w:rPr>
        <w:t>5.4: Er zijn wijzigingen in wie de bal uit neemt na een technische time-out, maar middels de uitzonderingen is geregeld dat alle wedstrijden in twee helften gespeeld worden.</w:t>
      </w:r>
    </w:p>
    <w:p w14:paraId="497D280F" w14:textId="77777777" w:rsidR="00C37067" w:rsidRPr="00FF63FD" w:rsidRDefault="00C37067" w:rsidP="00C37067">
      <w:pPr>
        <w:numPr>
          <w:ilvl w:val="0"/>
          <w:numId w:val="1"/>
        </w:numPr>
        <w:suppressAutoHyphens/>
        <w:spacing w:after="0" w:line="240" w:lineRule="auto"/>
        <w:rPr>
          <w:rFonts w:ascii="Verdana" w:hAnsi="Verdana"/>
          <w:kern w:val="0"/>
          <w:sz w:val="18"/>
          <w:szCs w:val="18"/>
          <w14:ligatures w14:val="none"/>
        </w:rPr>
      </w:pPr>
      <w:r w:rsidRPr="00FF63FD">
        <w:rPr>
          <w:rFonts w:ascii="Verdana" w:hAnsi="Verdana"/>
          <w:kern w:val="0"/>
          <w:sz w:val="18"/>
          <w:szCs w:val="18"/>
          <w14:ligatures w14:val="none"/>
        </w:rPr>
        <w:t>6.3: Er is een zinsnede toegevoegd hoe om te gaan met bepalen van de afstand van de armlengte.</w:t>
      </w:r>
    </w:p>
    <w:p w14:paraId="6176B25F" w14:textId="77777777" w:rsidR="00C37067" w:rsidRPr="00FF63FD" w:rsidRDefault="00C37067" w:rsidP="00C37067">
      <w:pPr>
        <w:numPr>
          <w:ilvl w:val="0"/>
          <w:numId w:val="1"/>
        </w:numPr>
        <w:suppressAutoHyphens/>
        <w:spacing w:after="0" w:line="240" w:lineRule="auto"/>
        <w:rPr>
          <w:rFonts w:ascii="Verdana" w:hAnsi="Verdana"/>
          <w:kern w:val="0"/>
          <w:sz w:val="18"/>
          <w:szCs w:val="18"/>
          <w14:ligatures w14:val="none"/>
        </w:rPr>
      </w:pPr>
      <w:r w:rsidRPr="00FF63FD">
        <w:rPr>
          <w:rFonts w:ascii="Verdana" w:hAnsi="Verdana"/>
          <w:kern w:val="0"/>
          <w:sz w:val="18"/>
          <w:szCs w:val="18"/>
          <w14:ligatures w14:val="none"/>
        </w:rPr>
        <w:t>7.4: Bij de vrije worp is nu geregeld dat de aanvallers eerst positie mogen kiezen, tevens is de volgorde in dit artikel gewijzigd.</w:t>
      </w:r>
    </w:p>
    <w:p w14:paraId="21A5C812" w14:textId="77777777" w:rsidR="00C37067" w:rsidRPr="00FF63FD" w:rsidRDefault="00C37067" w:rsidP="00C37067">
      <w:pPr>
        <w:numPr>
          <w:ilvl w:val="0"/>
          <w:numId w:val="1"/>
        </w:numPr>
        <w:suppressAutoHyphens/>
        <w:spacing w:after="0" w:line="240" w:lineRule="auto"/>
        <w:rPr>
          <w:rFonts w:ascii="Verdana" w:hAnsi="Verdana"/>
          <w:kern w:val="0"/>
          <w:sz w:val="18"/>
          <w:szCs w:val="18"/>
          <w14:ligatures w14:val="none"/>
        </w:rPr>
      </w:pPr>
      <w:r w:rsidRPr="00FF63FD">
        <w:rPr>
          <w:rFonts w:ascii="Verdana" w:hAnsi="Verdana"/>
          <w:kern w:val="0"/>
          <w:sz w:val="18"/>
          <w:szCs w:val="18"/>
          <w14:ligatures w14:val="none"/>
        </w:rPr>
        <w:t>7.6: De scheidsrechter heeft de mogelijkheid om de (assistent)coach de rest van de wedstrijd te verbieden de bank te verlaten.</w:t>
      </w:r>
    </w:p>
    <w:p w14:paraId="6FF9210B" w14:textId="77777777" w:rsidR="00C37067" w:rsidRPr="00FF63FD" w:rsidRDefault="00C37067" w:rsidP="00C37067">
      <w:pPr>
        <w:numPr>
          <w:ilvl w:val="0"/>
          <w:numId w:val="1"/>
        </w:numPr>
        <w:suppressAutoHyphens/>
        <w:spacing w:after="0" w:line="240" w:lineRule="auto"/>
        <w:rPr>
          <w:rFonts w:ascii="Verdana" w:hAnsi="Verdana"/>
          <w:kern w:val="0"/>
          <w:sz w:val="18"/>
          <w:szCs w:val="18"/>
          <w14:ligatures w14:val="none"/>
        </w:rPr>
      </w:pPr>
      <w:r w:rsidRPr="00FF63FD">
        <w:rPr>
          <w:rFonts w:ascii="Verdana" w:hAnsi="Verdana"/>
          <w:kern w:val="0"/>
          <w:sz w:val="18"/>
          <w:szCs w:val="18"/>
          <w14:ligatures w14:val="none"/>
        </w:rPr>
        <w:t xml:space="preserve">7.6: De tijdstraf is geen experiment meer, maar wordt in klassen met schotklok overal toegepast. Krijgt iemand op de bank een gele kaart, dan mogen er door dat team geen time-outs en wissels aangevraagd worden gedurende die periode. Wordt er iemand vanaf de bank weggezonden dan mag de (assistent-)coach niets meer. </w:t>
      </w:r>
    </w:p>
    <w:p w14:paraId="4375A047" w14:textId="77777777" w:rsidR="00C37067" w:rsidRPr="00FF63FD" w:rsidRDefault="00C37067" w:rsidP="00C37067">
      <w:pPr>
        <w:suppressAutoHyphens/>
        <w:spacing w:after="0" w:line="240" w:lineRule="auto"/>
        <w:rPr>
          <w:rFonts w:ascii="Verdana" w:hAnsi="Verdana"/>
          <w:kern w:val="0"/>
          <w:sz w:val="18"/>
          <w:szCs w:val="18"/>
          <w14:ligatures w14:val="none"/>
        </w:rPr>
      </w:pPr>
      <w:r w:rsidRPr="00FF63FD">
        <w:rPr>
          <w:rFonts w:ascii="Verdana" w:hAnsi="Verdana"/>
          <w:kern w:val="0"/>
          <w:sz w:val="18"/>
          <w:szCs w:val="18"/>
          <w14:ligatures w14:val="none"/>
        </w:rPr>
        <w:t>In de uitzonderingen voor de veldcompetitie zijn de volgende wijzigingen doorgevoerd:</w:t>
      </w:r>
    </w:p>
    <w:p w14:paraId="1292923F" w14:textId="77777777" w:rsidR="00C37067" w:rsidRPr="00FF63FD" w:rsidRDefault="00C37067" w:rsidP="00C37067">
      <w:pPr>
        <w:numPr>
          <w:ilvl w:val="0"/>
          <w:numId w:val="1"/>
        </w:numPr>
        <w:suppressAutoHyphens/>
        <w:spacing w:after="0" w:line="240" w:lineRule="auto"/>
        <w:rPr>
          <w:rFonts w:ascii="Verdana" w:hAnsi="Verdana"/>
          <w:kern w:val="0"/>
          <w:sz w:val="18"/>
          <w:szCs w:val="18"/>
          <w14:ligatures w14:val="none"/>
        </w:rPr>
      </w:pPr>
      <w:r w:rsidRPr="00FF63FD">
        <w:rPr>
          <w:rFonts w:ascii="Verdana" w:hAnsi="Verdana"/>
          <w:kern w:val="0"/>
          <w:sz w:val="18"/>
          <w:szCs w:val="18"/>
          <w14:ligatures w14:val="none"/>
        </w:rPr>
        <w:t>7.6: De oude tekst zoals die van toepassing was in de spelregels voor gele kaarten zonder tijdstraf is nu alleen van toepassing op het veld, daar is dus geen tijdstraf.</w:t>
      </w:r>
    </w:p>
    <w:p w14:paraId="1C01352F" w14:textId="77777777" w:rsidR="00C37067" w:rsidRPr="00FF63FD" w:rsidRDefault="00C37067" w:rsidP="00C37067">
      <w:pPr>
        <w:suppressAutoHyphens/>
        <w:spacing w:after="0" w:line="240" w:lineRule="auto"/>
        <w:rPr>
          <w:rFonts w:ascii="Verdana" w:hAnsi="Verdana"/>
          <w:kern w:val="0"/>
          <w:sz w:val="18"/>
          <w:szCs w:val="18"/>
          <w14:ligatures w14:val="none"/>
        </w:rPr>
      </w:pPr>
      <w:r w:rsidRPr="00FF63FD">
        <w:rPr>
          <w:rFonts w:ascii="Verdana" w:hAnsi="Verdana"/>
          <w:kern w:val="0"/>
          <w:sz w:val="18"/>
          <w:szCs w:val="18"/>
          <w14:ligatures w14:val="none"/>
        </w:rPr>
        <w:t xml:space="preserve">Alle actuele documenten zijn te vinden op </w:t>
      </w:r>
      <w:hyperlink r:id="rId8" w:history="1">
        <w:r w:rsidRPr="00FF63FD">
          <w:rPr>
            <w:rStyle w:val="Hyperlink"/>
            <w:rFonts w:ascii="Verdana" w:hAnsi="Verdana"/>
            <w:kern w:val="0"/>
            <w:sz w:val="18"/>
            <w:szCs w:val="18"/>
            <w14:ligatures w14:val="none"/>
          </w:rPr>
          <w:t>www.knkv.nl/spelregels</w:t>
        </w:r>
      </w:hyperlink>
      <w:r w:rsidRPr="00FF63FD">
        <w:rPr>
          <w:rFonts w:ascii="Verdana" w:hAnsi="Verdana"/>
          <w:kern w:val="0"/>
          <w:sz w:val="18"/>
          <w:szCs w:val="18"/>
          <w14:ligatures w14:val="none"/>
        </w:rPr>
        <w:t xml:space="preserve">. </w:t>
      </w:r>
    </w:p>
    <w:p w14:paraId="75620BAF" w14:textId="77777777" w:rsidR="00C37067" w:rsidRPr="00FF63FD" w:rsidRDefault="00C37067" w:rsidP="00C37067">
      <w:pPr>
        <w:suppressAutoHyphens/>
        <w:spacing w:after="0" w:line="240" w:lineRule="auto"/>
        <w:rPr>
          <w:rFonts w:ascii="Verdana" w:hAnsi="Verdana"/>
          <w:b/>
          <w:bCs/>
          <w:kern w:val="0"/>
          <w:sz w:val="18"/>
          <w:szCs w:val="18"/>
          <w14:ligatures w14:val="none"/>
        </w:rPr>
      </w:pPr>
      <w:r w:rsidRPr="00FF63FD">
        <w:rPr>
          <w:rFonts w:ascii="Verdana" w:hAnsi="Verdana"/>
          <w:b/>
          <w:bCs/>
          <w:kern w:val="0"/>
          <w:sz w:val="18"/>
          <w:szCs w:val="18"/>
          <w14:ligatures w14:val="none"/>
        </w:rPr>
        <w:t>Reglementswijzigingen Bondsraad juni 2024</w:t>
      </w:r>
    </w:p>
    <w:p w14:paraId="4D6740F1" w14:textId="77777777" w:rsidR="00C37067" w:rsidRPr="00FF63FD" w:rsidRDefault="00C37067" w:rsidP="00C37067">
      <w:pPr>
        <w:suppressAutoHyphens/>
        <w:spacing w:after="0" w:line="240" w:lineRule="auto"/>
        <w:rPr>
          <w:rFonts w:ascii="Verdana" w:hAnsi="Verdana"/>
          <w:kern w:val="0"/>
          <w:sz w:val="18"/>
          <w:szCs w:val="18"/>
          <w14:ligatures w14:val="none"/>
        </w:rPr>
      </w:pPr>
      <w:r w:rsidRPr="00FF63FD">
        <w:rPr>
          <w:rFonts w:ascii="Verdana" w:hAnsi="Verdana"/>
          <w:kern w:val="0"/>
          <w:sz w:val="18"/>
          <w:szCs w:val="18"/>
          <w14:ligatures w14:val="none"/>
        </w:rPr>
        <w:t>In deze toelichting wordt kort beschreven wat er per onderdeel de aanleiding is tot het voorstel.</w:t>
      </w:r>
    </w:p>
    <w:p w14:paraId="0D334DDF" w14:textId="77777777" w:rsidR="00C37067" w:rsidRPr="00FF63FD" w:rsidRDefault="00C37067" w:rsidP="00C37067">
      <w:pPr>
        <w:suppressAutoHyphens/>
        <w:spacing w:after="0" w:line="240" w:lineRule="auto"/>
        <w:rPr>
          <w:rFonts w:ascii="Verdana" w:hAnsi="Verdana"/>
          <w:kern w:val="0"/>
          <w:sz w:val="18"/>
          <w:szCs w:val="18"/>
          <w:u w:val="single"/>
          <w14:ligatures w14:val="none"/>
        </w:rPr>
      </w:pPr>
      <w:r w:rsidRPr="00FF63FD">
        <w:rPr>
          <w:rFonts w:ascii="Verdana" w:hAnsi="Verdana"/>
          <w:kern w:val="0"/>
          <w:sz w:val="18"/>
          <w:szCs w:val="18"/>
          <w:u w:val="single"/>
          <w14:ligatures w14:val="none"/>
        </w:rPr>
        <w:t>Normenkader Grensoverschrijdend gedrag</w:t>
      </w:r>
    </w:p>
    <w:p w14:paraId="043F2235" w14:textId="77777777" w:rsidR="00C37067" w:rsidRPr="00FF63FD" w:rsidRDefault="00C37067" w:rsidP="00C37067">
      <w:pPr>
        <w:suppressAutoHyphens/>
        <w:spacing w:after="0" w:line="240" w:lineRule="auto"/>
        <w:rPr>
          <w:rFonts w:ascii="Verdana" w:hAnsi="Verdana"/>
          <w:kern w:val="0"/>
          <w:sz w:val="18"/>
          <w:szCs w:val="18"/>
          <w14:ligatures w14:val="none"/>
        </w:rPr>
      </w:pPr>
      <w:r w:rsidRPr="00FF63FD">
        <w:rPr>
          <w:rFonts w:ascii="Verdana" w:hAnsi="Verdana"/>
          <w:kern w:val="0"/>
          <w:sz w:val="18"/>
          <w:szCs w:val="18"/>
          <w14:ligatures w14:val="none"/>
        </w:rPr>
        <w:t xml:space="preserve">Dit normenkader is een verplichting voor alle sportbonden om te borgen in de reglementen. Diverse wedstrijd gerelateerde overtredingen of vormen van wangedrag zijn opgenomen in de reguliere tuchtreglementen. Zware overtredingen zoals seksueel grensoverschrijdend gedrag zijn opgenomen in de reglementen van het ISR. Alles daar tussen in wordt nu geborgd binnen het normenkader grensoverschrijdend gedrag. Hier valt bijvoorbeeld ook onwenselijk gedrag op social media richting KNKV-officials onder, waar nu geen borging voor is. Wat hier niet onder valt is de categorie niet leden, zoals ouders of andere toeschouwers. </w:t>
      </w:r>
    </w:p>
    <w:p w14:paraId="050FF598" w14:textId="77777777" w:rsidR="00C37067" w:rsidRPr="00FF63FD" w:rsidRDefault="00C37067" w:rsidP="00C37067">
      <w:pPr>
        <w:suppressAutoHyphens/>
        <w:spacing w:after="0" w:line="240" w:lineRule="auto"/>
        <w:rPr>
          <w:rFonts w:ascii="Verdana" w:hAnsi="Verdana"/>
          <w:kern w:val="0"/>
          <w:sz w:val="18"/>
          <w:szCs w:val="18"/>
          <w14:ligatures w14:val="none"/>
        </w:rPr>
      </w:pPr>
      <w:r w:rsidRPr="00FF63FD">
        <w:rPr>
          <w:rFonts w:ascii="Verdana" w:hAnsi="Verdana"/>
          <w:kern w:val="0"/>
          <w:sz w:val="18"/>
          <w:szCs w:val="18"/>
          <w14:ligatures w14:val="none"/>
        </w:rPr>
        <w:t xml:space="preserve">In dit normenkader zijn enkele verplichte reglementsteksten opgenomen, die door KNKV ook over worden genomen. Ook voor de definities heeft het KNKV besloten om bij de teksten zoals opgesteld door NOC*NSF te blijven om ook toekomstige ontwikkelingen eenvoudig te kunnen implementeren. </w:t>
      </w:r>
    </w:p>
    <w:p w14:paraId="504D6D62" w14:textId="77777777" w:rsidR="00C37067" w:rsidRPr="00FF63FD" w:rsidRDefault="00C37067" w:rsidP="00C37067">
      <w:pPr>
        <w:suppressAutoHyphens/>
        <w:spacing w:after="0" w:line="240" w:lineRule="auto"/>
        <w:rPr>
          <w:rFonts w:ascii="Verdana" w:hAnsi="Verdana"/>
          <w:kern w:val="0"/>
          <w:sz w:val="18"/>
          <w:szCs w:val="18"/>
          <w14:ligatures w14:val="none"/>
        </w:rPr>
      </w:pPr>
      <w:r w:rsidRPr="00FF63FD">
        <w:rPr>
          <w:rFonts w:ascii="Verdana" w:hAnsi="Verdana"/>
          <w:kern w:val="0"/>
          <w:sz w:val="18"/>
          <w:szCs w:val="18"/>
          <w14:ligatures w14:val="none"/>
        </w:rPr>
        <w:t>De wijzigingen in het reglement hebben betrekking op artikel 3 waarin lid 2.d. toe wordt gevoegd en waar lid 3 uitgebreid wordt:</w:t>
      </w:r>
    </w:p>
    <w:p w14:paraId="456A260A" w14:textId="77777777" w:rsidR="00C37067" w:rsidRPr="00FF63FD" w:rsidRDefault="00C37067" w:rsidP="00C37067">
      <w:pPr>
        <w:suppressAutoHyphens/>
        <w:spacing w:after="0" w:line="240" w:lineRule="auto"/>
        <w:rPr>
          <w:rFonts w:ascii="Verdana" w:hAnsi="Verdana"/>
          <w:kern w:val="0"/>
          <w:sz w:val="18"/>
          <w:szCs w:val="18"/>
          <w14:ligatures w14:val="none"/>
        </w:rPr>
      </w:pPr>
      <w:r w:rsidRPr="00FF63FD">
        <w:rPr>
          <w:rFonts w:ascii="Verdana" w:hAnsi="Verdana"/>
          <w:kern w:val="0"/>
          <w:sz w:val="18"/>
          <w:szCs w:val="18"/>
          <w14:ligatures w14:val="none"/>
        </w:rPr>
        <w:t>2d. Om zich te onthouden van elke vorm van Grensoverschrijdend gedrag. De definitie van Grensoverschrijdend gedrag luidt: Grensoverschrijdend gedrag is elke vorm van handelen en/of nalaten dat als doel en/of gevolg heeft dat de waardigheid en/of veiligheid van één of meerdere personen wordt aangetast.</w:t>
      </w:r>
    </w:p>
    <w:p w14:paraId="14421485" w14:textId="77777777" w:rsidR="00C37067" w:rsidRPr="00FF63FD" w:rsidRDefault="00C37067" w:rsidP="00C37067">
      <w:pPr>
        <w:suppressAutoHyphens/>
        <w:spacing w:after="0" w:line="240" w:lineRule="auto"/>
        <w:rPr>
          <w:rFonts w:ascii="Verdana" w:hAnsi="Verdana"/>
          <w:kern w:val="0"/>
          <w:sz w:val="18"/>
          <w:szCs w:val="18"/>
          <w14:ligatures w14:val="none"/>
        </w:rPr>
      </w:pPr>
      <w:r w:rsidRPr="00FF63FD">
        <w:rPr>
          <w:rFonts w:ascii="Verdana" w:hAnsi="Verdana"/>
          <w:kern w:val="0"/>
          <w:sz w:val="18"/>
          <w:szCs w:val="18"/>
          <w14:ligatures w14:val="none"/>
        </w:rPr>
        <w:t xml:space="preserve">3. De verenigingen zijn met inachtneming van artikel 9 van de statuten verplicht de persoon op te geven die - geen lid van de betrokken vereniging zijnde - bij enige verenigingsploeg als </w:t>
      </w:r>
      <w:r w:rsidRPr="00FF63FD">
        <w:rPr>
          <w:rFonts w:ascii="Verdana" w:hAnsi="Verdana"/>
          <w:b/>
          <w:bCs/>
          <w:kern w:val="0"/>
          <w:sz w:val="18"/>
          <w:szCs w:val="18"/>
          <w14:ligatures w14:val="none"/>
        </w:rPr>
        <w:t>trainer</w:t>
      </w:r>
      <w:r w:rsidRPr="00FF63FD">
        <w:rPr>
          <w:rFonts w:ascii="Verdana" w:hAnsi="Verdana"/>
          <w:kern w:val="0"/>
          <w:sz w:val="18"/>
          <w:szCs w:val="18"/>
          <w14:ligatures w14:val="none"/>
        </w:rPr>
        <w:t xml:space="preserve">, coach </w:t>
      </w:r>
      <w:r w:rsidRPr="00FF63FD">
        <w:rPr>
          <w:rFonts w:ascii="Verdana" w:hAnsi="Verdana"/>
          <w:b/>
          <w:bCs/>
          <w:kern w:val="0"/>
          <w:sz w:val="18"/>
          <w:szCs w:val="18"/>
          <w14:ligatures w14:val="none"/>
        </w:rPr>
        <w:t>of andersoortige begeleider</w:t>
      </w:r>
      <w:r w:rsidRPr="00FF63FD">
        <w:rPr>
          <w:rFonts w:ascii="Verdana" w:hAnsi="Verdana"/>
          <w:kern w:val="0"/>
          <w:sz w:val="18"/>
          <w:szCs w:val="18"/>
          <w14:ligatures w14:val="none"/>
        </w:rPr>
        <w:t xml:space="preserve"> optreedt.</w:t>
      </w:r>
    </w:p>
    <w:p w14:paraId="4619DF59" w14:textId="77777777" w:rsidR="00C37067" w:rsidRPr="00FF63FD" w:rsidRDefault="00C37067" w:rsidP="00C37067">
      <w:pPr>
        <w:suppressAutoHyphens/>
        <w:spacing w:after="0" w:line="240" w:lineRule="auto"/>
        <w:rPr>
          <w:rFonts w:ascii="Verdana" w:hAnsi="Verdana"/>
          <w:kern w:val="0"/>
          <w:sz w:val="18"/>
          <w:szCs w:val="18"/>
          <w14:ligatures w14:val="none"/>
        </w:rPr>
      </w:pPr>
      <w:r w:rsidRPr="00FF63FD">
        <w:rPr>
          <w:rFonts w:ascii="Verdana" w:hAnsi="Verdana"/>
          <w:kern w:val="0"/>
          <w:sz w:val="18"/>
          <w:szCs w:val="18"/>
          <w14:ligatures w14:val="none"/>
        </w:rPr>
        <w:t xml:space="preserve">In het </w:t>
      </w:r>
      <w:hyperlink r:id="rId9" w:history="1">
        <w:r w:rsidRPr="00FF63FD">
          <w:rPr>
            <w:rStyle w:val="Hyperlink"/>
            <w:rFonts w:ascii="Verdana" w:hAnsi="Verdana"/>
            <w:kern w:val="0"/>
            <w:sz w:val="18"/>
            <w:szCs w:val="18"/>
            <w14:ligatures w14:val="none"/>
          </w:rPr>
          <w:t>tuchtreglement</w:t>
        </w:r>
      </w:hyperlink>
      <w:r w:rsidRPr="00FF63FD">
        <w:rPr>
          <w:rFonts w:ascii="Verdana" w:hAnsi="Verdana"/>
          <w:kern w:val="0"/>
          <w:sz w:val="18"/>
          <w:szCs w:val="18"/>
          <w14:ligatures w14:val="none"/>
        </w:rPr>
        <w:t xml:space="preserve"> wordt lid 4 toegevoegd bij artikel 2. </w:t>
      </w:r>
    </w:p>
    <w:p w14:paraId="699A398A" w14:textId="77777777" w:rsidR="00C37067" w:rsidRPr="00FF63FD" w:rsidRDefault="00C37067" w:rsidP="00C37067">
      <w:pPr>
        <w:suppressAutoHyphens/>
        <w:spacing w:after="0" w:line="240" w:lineRule="auto"/>
        <w:rPr>
          <w:rFonts w:ascii="Verdana" w:hAnsi="Verdana"/>
          <w:kern w:val="0"/>
          <w:sz w:val="18"/>
          <w:szCs w:val="18"/>
          <w14:ligatures w14:val="none"/>
        </w:rPr>
      </w:pPr>
      <w:r w:rsidRPr="00FF63FD">
        <w:rPr>
          <w:rFonts w:ascii="Verdana" w:hAnsi="Verdana"/>
          <w:kern w:val="0"/>
          <w:sz w:val="18"/>
          <w:szCs w:val="18"/>
          <w14:ligatures w14:val="none"/>
        </w:rPr>
        <w:t xml:space="preserve">De strafmaat is in overleg met NOC*NSF en onze tuchtorganen open gelaten en zal jaarlijks geëvalueerd worden. </w:t>
      </w:r>
    </w:p>
    <w:p w14:paraId="5C9E45A9" w14:textId="77777777" w:rsidR="00C37067" w:rsidRPr="00FF63FD" w:rsidRDefault="00C37067" w:rsidP="00C37067">
      <w:pPr>
        <w:suppressAutoHyphens/>
        <w:spacing w:after="0" w:line="240" w:lineRule="auto"/>
        <w:rPr>
          <w:rFonts w:ascii="Verdana" w:hAnsi="Verdana"/>
          <w:kern w:val="0"/>
          <w:sz w:val="18"/>
          <w:szCs w:val="18"/>
          <w14:ligatures w14:val="none"/>
        </w:rPr>
      </w:pPr>
      <w:r w:rsidRPr="00FF63FD">
        <w:rPr>
          <w:rFonts w:ascii="Verdana" w:hAnsi="Verdana"/>
          <w:kern w:val="0"/>
          <w:sz w:val="18"/>
          <w:szCs w:val="18"/>
          <w14:ligatures w14:val="none"/>
        </w:rPr>
        <w:lastRenderedPageBreak/>
        <w:t>Aanvullend zal het KNKV in navolging van NOC*NSF gedragscodes voor specifieke doelgroepen vaststellen en deze op korte termijn publiceren.</w:t>
      </w:r>
    </w:p>
    <w:p w14:paraId="33C53CB2" w14:textId="77777777" w:rsidR="00C37067" w:rsidRPr="00FF63FD" w:rsidRDefault="00C37067" w:rsidP="00C37067">
      <w:pPr>
        <w:suppressAutoHyphens/>
        <w:spacing w:after="0" w:line="240" w:lineRule="auto"/>
        <w:rPr>
          <w:rFonts w:ascii="Verdana" w:hAnsi="Verdana"/>
          <w:b/>
          <w:bCs/>
          <w:kern w:val="0"/>
          <w:sz w:val="18"/>
          <w:szCs w:val="18"/>
          <w:u w:val="single"/>
          <w14:ligatures w14:val="none"/>
        </w:rPr>
      </w:pPr>
      <w:hyperlink r:id="rId10" w:history="1">
        <w:r w:rsidRPr="00FF63FD">
          <w:rPr>
            <w:rStyle w:val="Hyperlink"/>
            <w:rFonts w:ascii="Verdana" w:hAnsi="Verdana"/>
            <w:b/>
            <w:bCs/>
            <w:kern w:val="0"/>
            <w:sz w:val="18"/>
            <w:szCs w:val="18"/>
            <w14:ligatures w14:val="none"/>
          </w:rPr>
          <w:t>Regels voor strafoplegging</w:t>
        </w:r>
      </w:hyperlink>
    </w:p>
    <w:p w14:paraId="30B64BFC" w14:textId="77777777" w:rsidR="00C37067" w:rsidRPr="00FF63FD" w:rsidRDefault="00C37067" w:rsidP="00C37067">
      <w:pPr>
        <w:suppressAutoHyphens/>
        <w:spacing w:after="0" w:line="240" w:lineRule="auto"/>
        <w:rPr>
          <w:rFonts w:ascii="Verdana" w:hAnsi="Verdana"/>
          <w:kern w:val="0"/>
          <w:sz w:val="18"/>
          <w:szCs w:val="18"/>
          <w14:ligatures w14:val="none"/>
        </w:rPr>
      </w:pPr>
      <w:r w:rsidRPr="00FF63FD">
        <w:rPr>
          <w:rFonts w:ascii="Verdana" w:hAnsi="Verdana"/>
          <w:kern w:val="0"/>
          <w:sz w:val="18"/>
          <w:szCs w:val="18"/>
          <w14:ligatures w14:val="none"/>
        </w:rPr>
        <w:t>De regels voor strafoplegging geven de bandbreedtes aan de tuchtorganen om straffen op te leggen als gevolg van de codes zoals deze vastgelegd zijn. De afgelopen jaren is de conclusie dat de verhoudingen tussen de sanctiemaat per strafcodes niet voldoen aan de huidige tijdsgeest vanuit zowel het oogpunt van de tuchtorganen als de verenigingen en gesanctioneerden. In dit voorstel zijn deze aspecten meegenomen om tot nieuwe kaders te komen.</w:t>
      </w:r>
    </w:p>
    <w:p w14:paraId="5C8DDBC9" w14:textId="77777777" w:rsidR="00C37067" w:rsidRPr="00FF63FD" w:rsidRDefault="00C37067" w:rsidP="00C37067">
      <w:pPr>
        <w:suppressAutoHyphens/>
        <w:spacing w:after="0" w:line="240" w:lineRule="auto"/>
        <w:rPr>
          <w:rFonts w:ascii="Verdana" w:hAnsi="Verdana"/>
          <w:kern w:val="0"/>
          <w:sz w:val="18"/>
          <w:szCs w:val="18"/>
          <w14:ligatures w14:val="none"/>
        </w:rPr>
      </w:pPr>
      <w:r w:rsidRPr="00FF63FD">
        <w:rPr>
          <w:rFonts w:ascii="Verdana" w:hAnsi="Verdana"/>
          <w:kern w:val="0"/>
          <w:sz w:val="18"/>
          <w:szCs w:val="18"/>
          <w14:ligatures w14:val="none"/>
        </w:rPr>
        <w:t xml:space="preserve">In het kort komt het er op neer dat overtredingen van coaches vanaf heden altijd zwaarder bestraft worden dan spelers gezien de voorbeeldfunctie. Ook telt discriminatie en overtredingen richting de scheidsrechter veel zwaarder. Strafverlaging is er voor de categorie duwen etc., deze is in lijn gebracht met slaande of schoppende beweging zonder raken. </w:t>
      </w:r>
    </w:p>
    <w:p w14:paraId="493594AC" w14:textId="77777777" w:rsidR="00C37067" w:rsidRPr="00FF63FD" w:rsidRDefault="00C37067" w:rsidP="00C37067">
      <w:pPr>
        <w:suppressAutoHyphens/>
        <w:spacing w:after="0" w:line="240" w:lineRule="auto"/>
        <w:rPr>
          <w:rFonts w:ascii="Verdana" w:hAnsi="Verdana"/>
          <w:kern w:val="0"/>
          <w:sz w:val="18"/>
          <w:szCs w:val="18"/>
          <w14:ligatures w14:val="none"/>
        </w:rPr>
      </w:pPr>
      <w:r w:rsidRPr="00FF63FD">
        <w:rPr>
          <w:rFonts w:ascii="Verdana" w:hAnsi="Verdana"/>
          <w:kern w:val="0"/>
          <w:sz w:val="18"/>
          <w:szCs w:val="18"/>
          <w14:ligatures w14:val="none"/>
        </w:rPr>
        <w:t>De nieuwe strafmaat is terug te vinden in de Regels voor Strafoplegging.</w:t>
      </w:r>
    </w:p>
    <w:p w14:paraId="27955E7B" w14:textId="77777777" w:rsidR="00C37067" w:rsidRPr="00FF63FD" w:rsidRDefault="00C37067" w:rsidP="00C37067">
      <w:pPr>
        <w:suppressAutoHyphens/>
        <w:spacing w:after="0" w:line="240" w:lineRule="auto"/>
        <w:rPr>
          <w:rFonts w:ascii="Verdana" w:hAnsi="Verdana"/>
          <w:b/>
          <w:bCs/>
          <w:kern w:val="0"/>
          <w:sz w:val="18"/>
          <w:szCs w:val="18"/>
          <w:u w:val="single"/>
          <w14:ligatures w14:val="none"/>
        </w:rPr>
      </w:pPr>
      <w:hyperlink r:id="rId11" w:history="1">
        <w:r w:rsidRPr="00FF63FD">
          <w:rPr>
            <w:rStyle w:val="Hyperlink"/>
            <w:rFonts w:ascii="Verdana" w:hAnsi="Verdana"/>
            <w:b/>
            <w:bCs/>
            <w:kern w:val="0"/>
            <w:sz w:val="18"/>
            <w:szCs w:val="18"/>
            <w14:ligatures w14:val="none"/>
          </w:rPr>
          <w:t>Tuchtreglement</w:t>
        </w:r>
      </w:hyperlink>
    </w:p>
    <w:p w14:paraId="28565FEA" w14:textId="77777777" w:rsidR="00C37067" w:rsidRPr="00FF63FD" w:rsidRDefault="00C37067" w:rsidP="00C37067">
      <w:pPr>
        <w:suppressAutoHyphens/>
        <w:spacing w:after="0" w:line="240" w:lineRule="auto"/>
        <w:rPr>
          <w:rFonts w:ascii="Verdana" w:hAnsi="Verdana"/>
          <w:kern w:val="0"/>
          <w:sz w:val="18"/>
          <w:szCs w:val="18"/>
          <w14:ligatures w14:val="none"/>
        </w:rPr>
      </w:pPr>
      <w:r w:rsidRPr="00FF63FD">
        <w:rPr>
          <w:rFonts w:ascii="Verdana" w:hAnsi="Verdana"/>
          <w:kern w:val="0"/>
          <w:sz w:val="18"/>
          <w:szCs w:val="18"/>
          <w14:ligatures w14:val="none"/>
        </w:rPr>
        <w:t>Op basis van de praktijkervaringen is er het verzoek van de tuchtorganen om enkele onderdelen van het reglement aan te passen aan de huidige tijdsgeest en enkele andere onderdelen te verfijnen.</w:t>
      </w:r>
    </w:p>
    <w:p w14:paraId="14AA5593" w14:textId="77777777" w:rsidR="00C37067" w:rsidRPr="00FF63FD" w:rsidRDefault="00C37067" w:rsidP="00C37067">
      <w:pPr>
        <w:suppressAutoHyphens/>
        <w:spacing w:after="0" w:line="240" w:lineRule="auto"/>
        <w:rPr>
          <w:rFonts w:ascii="Verdana" w:hAnsi="Verdana"/>
          <w:b/>
          <w:bCs/>
          <w:kern w:val="0"/>
          <w:sz w:val="18"/>
          <w:szCs w:val="18"/>
          <w:u w:val="single"/>
          <w14:ligatures w14:val="none"/>
        </w:rPr>
      </w:pPr>
      <w:hyperlink r:id="rId12" w:history="1">
        <w:r w:rsidRPr="00FF63FD">
          <w:rPr>
            <w:rStyle w:val="Hyperlink"/>
            <w:rFonts w:ascii="Verdana" w:hAnsi="Verdana"/>
            <w:b/>
            <w:bCs/>
            <w:kern w:val="0"/>
            <w:sz w:val="18"/>
            <w:szCs w:val="18"/>
            <w14:ligatures w14:val="none"/>
          </w:rPr>
          <w:t>Topsportstatuut</w:t>
        </w:r>
      </w:hyperlink>
    </w:p>
    <w:p w14:paraId="65A19967" w14:textId="77777777" w:rsidR="00C37067" w:rsidRPr="00FF63FD" w:rsidRDefault="00C37067" w:rsidP="00C37067">
      <w:pPr>
        <w:suppressAutoHyphens/>
        <w:spacing w:after="0" w:line="240" w:lineRule="auto"/>
        <w:rPr>
          <w:rFonts w:ascii="Verdana" w:hAnsi="Verdana"/>
          <w:kern w:val="0"/>
          <w:sz w:val="18"/>
          <w:szCs w:val="18"/>
          <w14:ligatures w14:val="none"/>
        </w:rPr>
      </w:pPr>
      <w:r w:rsidRPr="00FF63FD">
        <w:rPr>
          <w:rFonts w:ascii="Verdana" w:hAnsi="Verdana"/>
          <w:kern w:val="0"/>
          <w:sz w:val="18"/>
          <w:szCs w:val="18"/>
          <w14:ligatures w14:val="none"/>
        </w:rPr>
        <w:t>Vanuit NOC*NSF is de verplichting opgelegd dat enkele aspecten vanuit de topsport vastgelegd moeten worden in een topsportstatuut met daaronder enkele onderliggende documenten. In de situatie van het KNKV moet de bondsraad het topsportstatuut vast stellen en de borging daarvan in de reglementen. Op de inhoud is het KNKV gebonden aan de kaders vanuit NOC*NSF, derhalve is dit statuut ook 1 op 1 overgenomen. De onderliggende documenten zijn afgestemd met de spelersraad van de nationale selecties.</w:t>
      </w:r>
    </w:p>
    <w:p w14:paraId="0386FCAF" w14:textId="77777777" w:rsidR="00C37067" w:rsidRPr="00FF63FD" w:rsidRDefault="00C37067" w:rsidP="00C37067">
      <w:pPr>
        <w:suppressAutoHyphens/>
        <w:spacing w:after="0" w:line="240" w:lineRule="auto"/>
        <w:rPr>
          <w:rFonts w:ascii="Verdana" w:hAnsi="Verdana"/>
          <w:kern w:val="0"/>
          <w:sz w:val="18"/>
          <w:szCs w:val="18"/>
          <w14:ligatures w14:val="none"/>
        </w:rPr>
      </w:pPr>
      <w:r w:rsidRPr="00FF63FD">
        <w:rPr>
          <w:rFonts w:ascii="Verdana" w:hAnsi="Verdana"/>
          <w:kern w:val="0"/>
          <w:sz w:val="18"/>
          <w:szCs w:val="18"/>
          <w14:ligatures w14:val="none"/>
        </w:rPr>
        <w:t xml:space="preserve">Artikel 8a is toegevoegd in het huishoudelijk reglement om hier borging aan te geven. </w:t>
      </w:r>
    </w:p>
    <w:p w14:paraId="6C986724" w14:textId="77777777" w:rsidR="00C37067" w:rsidRPr="00FF63FD" w:rsidRDefault="00C37067" w:rsidP="00C37067">
      <w:pPr>
        <w:suppressAutoHyphens/>
        <w:spacing w:after="0" w:line="240" w:lineRule="auto"/>
        <w:rPr>
          <w:rFonts w:ascii="Verdana" w:hAnsi="Verdana"/>
          <w:b/>
          <w:bCs/>
          <w:kern w:val="0"/>
          <w:sz w:val="18"/>
          <w:szCs w:val="18"/>
          <w:u w:val="single"/>
          <w14:ligatures w14:val="none"/>
        </w:rPr>
      </w:pPr>
      <w:hyperlink r:id="rId13" w:history="1">
        <w:r w:rsidRPr="00FF63FD">
          <w:rPr>
            <w:rStyle w:val="Hyperlink"/>
            <w:rFonts w:ascii="Verdana" w:hAnsi="Verdana"/>
            <w:b/>
            <w:bCs/>
            <w:kern w:val="0"/>
            <w:sz w:val="18"/>
            <w:szCs w:val="18"/>
            <w14:ligatures w14:val="none"/>
          </w:rPr>
          <w:t>Reglement van Wedstrijden</w:t>
        </w:r>
      </w:hyperlink>
    </w:p>
    <w:p w14:paraId="2DB9B84E" w14:textId="77777777" w:rsidR="00C37067" w:rsidRPr="00FF63FD" w:rsidRDefault="00C37067" w:rsidP="00C37067">
      <w:pPr>
        <w:suppressAutoHyphens/>
        <w:spacing w:after="0" w:line="240" w:lineRule="auto"/>
        <w:rPr>
          <w:rFonts w:ascii="Verdana" w:hAnsi="Verdana"/>
          <w:kern w:val="0"/>
          <w:sz w:val="18"/>
          <w:szCs w:val="18"/>
          <w14:ligatures w14:val="none"/>
        </w:rPr>
      </w:pPr>
      <w:r w:rsidRPr="00FF63FD">
        <w:rPr>
          <w:rFonts w:ascii="Verdana" w:hAnsi="Verdana"/>
          <w:kern w:val="0"/>
          <w:sz w:val="18"/>
          <w:szCs w:val="18"/>
          <w14:ligatures w14:val="none"/>
        </w:rPr>
        <w:t xml:space="preserve">Het opgeven van teams gaat sinds jaar en dag via het zogenaamde A2-formulier. Een voor verenigingen een complexe en tijdrovende methodiek die ook schuurt tegen de privacy-regels. Binnen Sportlink is er een optie beschikbaar om dit geheel binnen Sportlink af te handelen. Om gebruik te blijven maken van de succesvolle sterkte indicatie blijft het van belang te weten wie in welk team ingedeeld gaat worden om zo tot een goede competitie indeling te komen. </w:t>
      </w:r>
    </w:p>
    <w:p w14:paraId="48E05549" w14:textId="77777777" w:rsidR="00C37067" w:rsidRPr="00FF63FD" w:rsidRDefault="00C37067" w:rsidP="00C37067">
      <w:pPr>
        <w:suppressAutoHyphens/>
        <w:spacing w:after="0" w:line="240" w:lineRule="auto"/>
        <w:rPr>
          <w:rFonts w:ascii="Verdana" w:hAnsi="Verdana"/>
          <w:kern w:val="0"/>
          <w:sz w:val="18"/>
          <w:szCs w:val="18"/>
          <w14:ligatures w14:val="none"/>
        </w:rPr>
      </w:pPr>
      <w:r w:rsidRPr="00FF63FD">
        <w:rPr>
          <w:rFonts w:ascii="Verdana" w:hAnsi="Verdana"/>
          <w:kern w:val="0"/>
          <w:sz w:val="18"/>
          <w:szCs w:val="18"/>
          <w14:ligatures w14:val="none"/>
        </w:rPr>
        <w:t xml:space="preserve">In Sportlink is het altijd al mogelijk geweest om spelers aan teams te koppelen, met allerlei mogelijkheden richting andere opties binnen Sportlink. Hier konden KNKV verenigingen geen gebruik van maken omdat deze optie ingezet werd voor de teamopgaven binnen het reglement van wedstrijden. </w:t>
      </w:r>
    </w:p>
    <w:p w14:paraId="6134C043" w14:textId="77777777" w:rsidR="00C37067" w:rsidRPr="00FF63FD" w:rsidRDefault="00C37067" w:rsidP="00C37067">
      <w:pPr>
        <w:suppressAutoHyphens/>
        <w:spacing w:after="0" w:line="240" w:lineRule="auto"/>
        <w:rPr>
          <w:rFonts w:ascii="Verdana" w:hAnsi="Verdana"/>
          <w:kern w:val="0"/>
          <w:sz w:val="18"/>
          <w:szCs w:val="18"/>
          <w14:ligatures w14:val="none"/>
        </w:rPr>
      </w:pPr>
      <w:r w:rsidRPr="00FF63FD">
        <w:rPr>
          <w:rFonts w:ascii="Verdana" w:hAnsi="Verdana"/>
          <w:kern w:val="0"/>
          <w:sz w:val="18"/>
          <w:szCs w:val="18"/>
          <w14:ligatures w14:val="none"/>
        </w:rPr>
        <w:t xml:space="preserve">Tijdens de avonden voor competitie 2.0 is reeds een nieuwe methodiek van speelgerechtigdheid besproken, welke nu uitgewerkt is in regelgeving waarbij ook op dit punt de administratieve last voor verengingen fors verminderd wordt, en de app een hulpmiddel wordt om verenigingen te helpen voorkomen dat er ongerechtigde spelers in het veld staan. </w:t>
      </w:r>
    </w:p>
    <w:p w14:paraId="3FC0B603" w14:textId="77777777" w:rsidR="00C37067" w:rsidRPr="00FF63FD" w:rsidRDefault="00C37067" w:rsidP="00C37067">
      <w:pPr>
        <w:suppressAutoHyphens/>
        <w:spacing w:after="0" w:line="240" w:lineRule="auto"/>
        <w:rPr>
          <w:rFonts w:ascii="Verdana" w:hAnsi="Verdana"/>
          <w:kern w:val="0"/>
          <w:sz w:val="18"/>
          <w:szCs w:val="18"/>
          <w14:ligatures w14:val="none"/>
        </w:rPr>
      </w:pPr>
      <w:r w:rsidRPr="00FF63FD">
        <w:rPr>
          <w:rFonts w:ascii="Verdana" w:hAnsi="Verdana"/>
          <w:kern w:val="0"/>
          <w:sz w:val="18"/>
          <w:szCs w:val="18"/>
          <w14:ligatures w14:val="none"/>
        </w:rPr>
        <w:t xml:space="preserve">De artikel 23-28 zijn vervallen en vervangen door de nieuwe artikelen 23-25. </w:t>
      </w:r>
    </w:p>
    <w:p w14:paraId="5F136B9A" w14:textId="77777777" w:rsidR="00C37067" w:rsidRPr="00620039" w:rsidRDefault="00C37067" w:rsidP="00C37067">
      <w:pPr>
        <w:suppressAutoHyphens/>
        <w:spacing w:after="0" w:line="240" w:lineRule="auto"/>
        <w:rPr>
          <w:rFonts w:ascii="Verdana" w:hAnsi="Verdana"/>
          <w:kern w:val="0"/>
          <w:sz w:val="18"/>
          <w:szCs w:val="18"/>
          <w14:ligatures w14:val="none"/>
        </w:rPr>
      </w:pPr>
      <w:r w:rsidRPr="00FF63FD">
        <w:rPr>
          <w:rFonts w:ascii="Verdana" w:hAnsi="Verdana"/>
          <w:kern w:val="0"/>
          <w:sz w:val="18"/>
          <w:szCs w:val="18"/>
          <w14:ligatures w14:val="none"/>
        </w:rPr>
        <w:t xml:space="preserve">Alle reglementen zijn te vinden op </w:t>
      </w:r>
      <w:hyperlink r:id="rId14" w:history="1">
        <w:r w:rsidRPr="00FF63FD">
          <w:rPr>
            <w:rStyle w:val="Hyperlink"/>
            <w:rFonts w:ascii="Verdana" w:hAnsi="Verdana"/>
            <w:kern w:val="0"/>
            <w:sz w:val="18"/>
            <w:szCs w:val="18"/>
            <w14:ligatures w14:val="none"/>
          </w:rPr>
          <w:t>www.knkv.nl/regelgeving</w:t>
        </w:r>
      </w:hyperlink>
    </w:p>
    <w:p w14:paraId="764BBA99" w14:textId="77777777" w:rsidR="00B444C9" w:rsidRDefault="00B444C9"/>
    <w:sectPr w:rsidR="00B444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FE2951"/>
    <w:multiLevelType w:val="hybridMultilevel"/>
    <w:tmpl w:val="7534B61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5428625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067"/>
    <w:rsid w:val="000D7C09"/>
    <w:rsid w:val="00663F9A"/>
    <w:rsid w:val="00B444C9"/>
    <w:rsid w:val="00C3706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EC728"/>
  <w15:chartTrackingRefBased/>
  <w15:docId w15:val="{5C0CF0FC-E6F9-4B85-84E9-D3C639797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37067"/>
    <w:pPr>
      <w:spacing w:line="25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C370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nkv.nl/spelregels" TargetMode="External"/><Relationship Id="rId13" Type="http://schemas.openxmlformats.org/officeDocument/2006/relationships/hyperlink" Target="https://knkv.nl/reglement-van-wedstrijden/" TargetMode="External"/><Relationship Id="rId3" Type="http://schemas.openxmlformats.org/officeDocument/2006/relationships/settings" Target="settings.xml"/><Relationship Id="rId7" Type="http://schemas.openxmlformats.org/officeDocument/2006/relationships/image" Target="cid:image772661.png@390FA053.BFB73F79" TargetMode="External"/><Relationship Id="rId12" Type="http://schemas.openxmlformats.org/officeDocument/2006/relationships/hyperlink" Target="https://www.knkv.nl/topsportstatuu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knkv.nl/tuchtreglement/" TargetMode="External"/><Relationship Id="rId5" Type="http://schemas.openxmlformats.org/officeDocument/2006/relationships/hyperlink" Target="https://www.knkv.nl/" TargetMode="External"/><Relationship Id="rId15" Type="http://schemas.openxmlformats.org/officeDocument/2006/relationships/fontTable" Target="fontTable.xml"/><Relationship Id="rId10" Type="http://schemas.openxmlformats.org/officeDocument/2006/relationships/hyperlink" Target="https://knkv.nl/regels-voor-strafoplegging/" TargetMode="External"/><Relationship Id="rId4" Type="http://schemas.openxmlformats.org/officeDocument/2006/relationships/webSettings" Target="webSettings.xml"/><Relationship Id="rId9" Type="http://schemas.openxmlformats.org/officeDocument/2006/relationships/hyperlink" Target="https://knkv.nl/tuchtreglement/" TargetMode="External"/><Relationship Id="rId14" Type="http://schemas.openxmlformats.org/officeDocument/2006/relationships/hyperlink" Target="http://www.knkv.nl/regelgeving"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1097</Words>
  <Characters>6038</Characters>
  <Application>Microsoft Office Word</Application>
  <DocSecurity>0</DocSecurity>
  <Lines>50</Lines>
  <Paragraphs>14</Paragraphs>
  <ScaleCrop>false</ScaleCrop>
  <Company/>
  <LinksUpToDate>false</LinksUpToDate>
  <CharactersWithSpaces>7121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Graaf</dc:creator>
  <cp:keywords/>
  <dc:description/>
  <cp:lastModifiedBy>de Graaf</cp:lastModifiedBy>
  <cp:revision>2</cp:revision>
  <dcterms:created xsi:type="dcterms:W3CDTF">2024-08-23T10:06:00Z</dcterms:created>
  <dcterms:modified xsi:type="dcterms:W3CDTF">2024-08-23T10:08:00Z</dcterms:modified>
</cp:coreProperties>
</file>